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CB" w:rsidRDefault="00660AE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466725</wp:posOffset>
                </wp:positionV>
                <wp:extent cx="6791325" cy="9791700"/>
                <wp:effectExtent l="95250" t="95250" r="28575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9791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10314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6803"/>
                              <w:gridCol w:w="1418"/>
                            </w:tblGrid>
                            <w:tr w:rsidR="00D6381E" w:rsidTr="00D6381E"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381E" w:rsidRDefault="00D6381E" w:rsidP="00374C7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240" w:line="319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1076325" cy="1076325"/>
                                        <wp:effectExtent l="0" t="0" r="9525" b="9525"/>
                                        <wp:docPr id="42" name="Immagin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325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381E" w:rsidRDefault="00D6381E" w:rsidP="00374C7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120" w:after="12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6381E" w:rsidRPr="00080EEC" w:rsidRDefault="00D6381E" w:rsidP="00374C7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120" w:after="12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80EE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Dipartimento di Scienze Giuridiche</w:t>
                                  </w:r>
                                </w:p>
                                <w:p w:rsidR="00D6381E" w:rsidRPr="00D6381E" w:rsidRDefault="00D6381E" w:rsidP="007334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6381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Corso di </w:t>
                                  </w:r>
                                  <w:r w:rsidR="007334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  <w:r w:rsidRPr="00D6381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aurea </w:t>
                                  </w:r>
                                  <w:r w:rsidR="00D2284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in Scienze dei Servizi G</w:t>
                                  </w:r>
                                  <w:r w:rsidRPr="00D6381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iuri</w:t>
                                  </w:r>
                                  <w:r w:rsidR="00D2284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dici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6381E" w:rsidRDefault="00D6381E" w:rsidP="00374C7F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240" w:line="319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609600" cy="1076325"/>
                                        <wp:effectExtent l="0" t="0" r="0" b="9525"/>
                                        <wp:docPr id="41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021CB" w:rsidRDefault="000021CB"/>
                          <w:p w:rsidR="000021CB" w:rsidRDefault="000021CB"/>
                          <w:p w:rsidR="008F79B6" w:rsidRDefault="008F79B6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4F7BE8" w:rsidRDefault="004F7BE8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Guest lecture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by</w:t>
                            </w:r>
                          </w:p>
                          <w:p w:rsidR="004F7BE8" w:rsidRDefault="004F7BE8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Dott. Salvatore D'Acunto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ind w:hanging="142"/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Head of Unit, European Commission, </w:t>
                            </w:r>
                            <w:r w:rsidRPr="00D6381E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en-US"/>
                              </w:rPr>
                              <w:t>DG Internal Market, Industry, Entrepreneurship and SMEs</w:t>
                            </w:r>
                          </w:p>
                          <w:p w:rsid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40"/>
                                <w:szCs w:val="40"/>
                                <w:lang w:val="en-US"/>
                              </w:rPr>
                              <w:t>The European Commission at work: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40"/>
                                <w:szCs w:val="40"/>
                                <w:lang w:val="en-US"/>
                              </w:rPr>
                              <w:t>An insider's view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Tuesday, February 23, 2016 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</w:rPr>
                              <w:t>Aula Trabucchi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</w:rPr>
                            </w:pPr>
                            <w:r w:rsidRPr="00D6381E"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</w:rPr>
                              <w:t>9:30 am to 11:30 am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rPr>
                                <w:rFonts w:ascii="Calibri" w:hAnsi="Calibri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6381E" w:rsidRPr="00D6381E" w:rsidRDefault="00D6381E" w:rsidP="00D6381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F79B6" w:rsidRDefault="008F79B6" w:rsidP="00D6381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D6381E" w:rsidRPr="00212E32" w:rsidRDefault="00D6381E" w:rsidP="00D6381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12E3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Lezione aperta al pubblico nell'ambito del corso di </w:t>
                            </w:r>
                          </w:p>
                          <w:p w:rsidR="00D6381E" w:rsidRPr="00212E32" w:rsidRDefault="00D6381E" w:rsidP="00D6381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12E3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Lineamenti di Diritto dell'Unione Europea (in lingua inglese)</w:t>
                            </w:r>
                          </w:p>
                          <w:p w:rsidR="00D6381E" w:rsidRPr="00212E32" w:rsidRDefault="00D6381E" w:rsidP="00D6381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12E32">
                              <w:rPr>
                                <w:i/>
                                <w:sz w:val="36"/>
                                <w:szCs w:val="36"/>
                              </w:rPr>
                              <w:t>Prof.</w:t>
                            </w:r>
                            <w:r w:rsidR="00660AE3">
                              <w:rPr>
                                <w:i/>
                                <w:sz w:val="36"/>
                                <w:szCs w:val="36"/>
                              </w:rPr>
                              <w:t xml:space="preserve">ssa </w:t>
                            </w:r>
                            <w:bookmarkStart w:id="0" w:name="_GoBack"/>
                            <w:bookmarkEnd w:id="0"/>
                            <w:r w:rsidRPr="00212E32">
                              <w:rPr>
                                <w:i/>
                                <w:sz w:val="36"/>
                                <w:szCs w:val="36"/>
                              </w:rPr>
                              <w:t>Annalisa Ciampi</w:t>
                            </w:r>
                          </w:p>
                          <w:p w:rsidR="00D6381E" w:rsidRPr="00D6381E" w:rsidRDefault="00D6381E" w:rsidP="00D6381E">
                            <w:pPr>
                              <w:pStyle w:val="Testonormale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021CB" w:rsidRDefault="000021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0pt;margin-top:36.75pt;width:534.75pt;height:77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" filled="f" strokecolor="#365f91 [2404]" strokeweight="2.25pt">
                <v:shadow on="t" type="double" opacity=".5" color2="shadow add(102)" offset="-3pt,-3pt" offset2="-6pt,-6pt"/>
                <v:textbox inset="0,,0">
                  <w:txbxContent>
                    <w:tbl>
                      <w:tblPr>
                        <w:tblStyle w:val="Grigliatabella"/>
                        <w:tblW w:w="10314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6803"/>
                        <w:gridCol w:w="1418"/>
                      </w:tblGrid>
                      <w:tr w:rsidR="00D6381E" w:rsidTr="00D6381E"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381E" w:rsidRDefault="00D6381E" w:rsidP="00374C7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240" w:line="319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076325" cy="1076325"/>
                                  <wp:effectExtent l="0" t="0" r="9525" b="9525"/>
                                  <wp:docPr id="4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381E" w:rsidRDefault="00D6381E" w:rsidP="00374C7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6381E" w:rsidRPr="00080EEC" w:rsidRDefault="00D6381E" w:rsidP="00374C7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120"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0EEC">
                              <w:rPr>
                                <w:b/>
                                <w:sz w:val="32"/>
                                <w:szCs w:val="32"/>
                              </w:rPr>
                              <w:t>Dipartimento di Scienze Giuridiche</w:t>
                            </w:r>
                          </w:p>
                          <w:p w:rsidR="00D6381E" w:rsidRPr="00D6381E" w:rsidRDefault="00D6381E" w:rsidP="007334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38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Corso di </w:t>
                            </w:r>
                            <w:r w:rsidR="007334BC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D638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aurea </w:t>
                            </w:r>
                            <w:r w:rsidR="00D2284D">
                              <w:rPr>
                                <w:b/>
                                <w:sz w:val="32"/>
                                <w:szCs w:val="32"/>
                              </w:rPr>
                              <w:t>in Scienze dei Servizi G</w:t>
                            </w:r>
                            <w:r w:rsidRPr="00D6381E">
                              <w:rPr>
                                <w:b/>
                                <w:sz w:val="32"/>
                                <w:szCs w:val="32"/>
                              </w:rPr>
                              <w:t>iuri</w:t>
                            </w:r>
                            <w:r w:rsidR="00D2284D">
                              <w:rPr>
                                <w:b/>
                                <w:sz w:val="32"/>
                                <w:szCs w:val="32"/>
                              </w:rPr>
                              <w:t>dici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6381E" w:rsidRDefault="00D6381E" w:rsidP="00374C7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240" w:line="319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609600" cy="1076325"/>
                                  <wp:effectExtent l="0" t="0" r="0" b="9525"/>
                                  <wp:docPr id="41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021CB" w:rsidRDefault="000021CB"/>
                    <w:p w:rsidR="000021CB" w:rsidRDefault="000021CB"/>
                    <w:p w:rsidR="008F79B6" w:rsidRDefault="008F79B6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  <w:p w:rsidR="004F7BE8" w:rsidRDefault="004F7BE8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D6381E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US"/>
                        </w:rPr>
                        <w:t>Guest lecture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D6381E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US"/>
                        </w:rPr>
                        <w:t>by</w:t>
                      </w:r>
                    </w:p>
                    <w:p w:rsidR="004F7BE8" w:rsidRDefault="004F7BE8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D6381E">
                        <w:rPr>
                          <w:rFonts w:ascii="Calibri" w:hAnsi="Calibri"/>
                          <w:b/>
                          <w:bCs/>
                          <w:sz w:val="48"/>
                          <w:szCs w:val="48"/>
                          <w:lang w:val="en-US"/>
                        </w:rPr>
                        <w:t>Dott. Salvatore D'Acunto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:rsidR="00D6381E" w:rsidRPr="00D6381E" w:rsidRDefault="00D6381E" w:rsidP="00D6381E">
                      <w:pPr>
                        <w:pStyle w:val="Testonormale"/>
                        <w:ind w:hanging="142"/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D6381E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Head of Unit, European Commission, </w:t>
                      </w:r>
                      <w:r w:rsidRPr="00D6381E">
                        <w:rPr>
                          <w:rFonts w:ascii="Calibri" w:hAnsi="Calibri"/>
                          <w:b/>
                          <w:sz w:val="26"/>
                          <w:szCs w:val="26"/>
                          <w:lang w:val="en-US"/>
                        </w:rPr>
                        <w:t>DG Internal Market, Industry, Entrepreneurship and SMEs</w:t>
                      </w:r>
                    </w:p>
                    <w:p w:rsid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color w:val="1F497D"/>
                          <w:sz w:val="40"/>
                          <w:szCs w:val="40"/>
                          <w:lang w:val="en-US"/>
                        </w:rPr>
                      </w:pPr>
                      <w:r w:rsidRPr="00D6381E">
                        <w:rPr>
                          <w:rFonts w:ascii="Calibri" w:hAnsi="Calibri"/>
                          <w:b/>
                          <w:bCs/>
                          <w:color w:val="1F497D"/>
                          <w:sz w:val="40"/>
                          <w:szCs w:val="40"/>
                          <w:lang w:val="en-US"/>
                        </w:rPr>
                        <w:t>The European Commission at work: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color w:val="1F497D"/>
                          <w:sz w:val="40"/>
                          <w:szCs w:val="40"/>
                          <w:lang w:val="en-US"/>
                        </w:rPr>
                      </w:pPr>
                      <w:r w:rsidRPr="00D6381E">
                        <w:rPr>
                          <w:rFonts w:ascii="Calibri" w:hAnsi="Calibri"/>
                          <w:b/>
                          <w:bCs/>
                          <w:color w:val="1F497D"/>
                          <w:sz w:val="40"/>
                          <w:szCs w:val="40"/>
                          <w:lang w:val="en-US"/>
                        </w:rPr>
                        <w:t>An insider's view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D6381E">
                        <w:rPr>
                          <w:rFonts w:ascii="Calibri" w:hAnsi="Calibri"/>
                          <w:bCs/>
                          <w:sz w:val="40"/>
                          <w:szCs w:val="40"/>
                          <w:lang w:val="en-US"/>
                        </w:rPr>
                        <w:t xml:space="preserve">Tuesday, February 23, 2016 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Cs/>
                          <w:sz w:val="40"/>
                          <w:szCs w:val="40"/>
                        </w:rPr>
                      </w:pPr>
                      <w:r w:rsidRPr="00D6381E">
                        <w:rPr>
                          <w:rFonts w:ascii="Calibri" w:hAnsi="Calibri"/>
                          <w:bCs/>
                          <w:sz w:val="40"/>
                          <w:szCs w:val="40"/>
                        </w:rPr>
                        <w:t>Aula Trabucchi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Cs/>
                          <w:sz w:val="40"/>
                          <w:szCs w:val="40"/>
                        </w:rPr>
                      </w:pPr>
                      <w:r w:rsidRPr="00D6381E">
                        <w:rPr>
                          <w:rFonts w:ascii="Calibri" w:hAnsi="Calibri"/>
                          <w:bCs/>
                          <w:sz w:val="40"/>
                          <w:szCs w:val="40"/>
                        </w:rPr>
                        <w:t>9:30 am to 11:30 am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rPr>
                          <w:rFonts w:ascii="Calibri" w:hAnsi="Calibri"/>
                          <w:bCs/>
                          <w:sz w:val="40"/>
                          <w:szCs w:val="40"/>
                        </w:rPr>
                      </w:pPr>
                    </w:p>
                    <w:p w:rsidR="00D6381E" w:rsidRPr="00D6381E" w:rsidRDefault="00D6381E" w:rsidP="00D6381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F79B6" w:rsidRDefault="008F79B6" w:rsidP="00D6381E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  <w:p w:rsidR="00D6381E" w:rsidRPr="00212E32" w:rsidRDefault="00D6381E" w:rsidP="00D6381E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212E32">
                        <w:rPr>
                          <w:i/>
                          <w:sz w:val="36"/>
                          <w:szCs w:val="36"/>
                        </w:rPr>
                        <w:t xml:space="preserve">Lezione aperta al pubblico nell'ambito del corso di </w:t>
                      </w:r>
                    </w:p>
                    <w:p w:rsidR="00D6381E" w:rsidRPr="00212E32" w:rsidRDefault="00D6381E" w:rsidP="00D6381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212E32">
                        <w:rPr>
                          <w:b/>
                          <w:i/>
                          <w:sz w:val="36"/>
                          <w:szCs w:val="36"/>
                        </w:rPr>
                        <w:t>Lineamenti di Diritto dell'Unione Europea (in lingua inglese)</w:t>
                      </w:r>
                    </w:p>
                    <w:p w:rsidR="00D6381E" w:rsidRPr="00212E32" w:rsidRDefault="00D6381E" w:rsidP="00D6381E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212E32">
                        <w:rPr>
                          <w:i/>
                          <w:sz w:val="36"/>
                          <w:szCs w:val="36"/>
                        </w:rPr>
                        <w:t>Prof.</w:t>
                      </w:r>
                      <w:r w:rsidR="00660AE3">
                        <w:rPr>
                          <w:i/>
                          <w:sz w:val="36"/>
                          <w:szCs w:val="36"/>
                        </w:rPr>
                        <w:t xml:space="preserve">ssa </w:t>
                      </w:r>
                      <w:bookmarkStart w:id="1" w:name="_GoBack"/>
                      <w:bookmarkEnd w:id="1"/>
                      <w:r w:rsidRPr="00212E32">
                        <w:rPr>
                          <w:i/>
                          <w:sz w:val="36"/>
                          <w:szCs w:val="36"/>
                        </w:rPr>
                        <w:t>Annalisa Ciampi</w:t>
                      </w:r>
                    </w:p>
                    <w:p w:rsidR="00D6381E" w:rsidRPr="00D6381E" w:rsidRDefault="00D6381E" w:rsidP="00D6381E">
                      <w:pPr>
                        <w:pStyle w:val="Testonormale"/>
                        <w:jc w:val="center"/>
                        <w:rPr>
                          <w:rFonts w:ascii="Calibri" w:hAnsi="Calibri"/>
                          <w:b/>
                          <w:bCs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:rsidR="000021CB" w:rsidRDefault="000021C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21CB" w:rsidRDefault="000021CB"/>
    <w:p w:rsidR="000021CB" w:rsidRDefault="000021CB"/>
    <w:p w:rsidR="000021CB" w:rsidRDefault="000021CB"/>
    <w:p w:rsidR="000021CB" w:rsidRDefault="000021CB"/>
    <w:p w:rsidR="000021CB" w:rsidRDefault="000021CB"/>
    <w:p w:rsidR="000021CB" w:rsidRDefault="000021CB"/>
    <w:sectPr w:rsidR="000021CB" w:rsidSect="000021CB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1E"/>
    <w:rsid w:val="000021CB"/>
    <w:rsid w:val="001543B5"/>
    <w:rsid w:val="001C45CF"/>
    <w:rsid w:val="00243674"/>
    <w:rsid w:val="00322FFC"/>
    <w:rsid w:val="004F7BE8"/>
    <w:rsid w:val="00660AE3"/>
    <w:rsid w:val="007063E0"/>
    <w:rsid w:val="007334BC"/>
    <w:rsid w:val="007A1958"/>
    <w:rsid w:val="008F79B6"/>
    <w:rsid w:val="009959DF"/>
    <w:rsid w:val="00B44FFA"/>
    <w:rsid w:val="00D2284D"/>
    <w:rsid w:val="00D6381E"/>
    <w:rsid w:val="00E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37c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38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41808"/>
    <w:pPr>
      <w:spacing w:after="0" w:line="240" w:lineRule="auto"/>
      <w:jc w:val="center"/>
      <w:outlineLvl w:val="0"/>
    </w:pPr>
    <w:rPr>
      <w:rFonts w:ascii="Century Gothic" w:eastAsia="Times New Roman" w:hAnsi="Century Gothic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semiHidden/>
    <w:rsid w:val="00E4180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E4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638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D638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381E"/>
    <w:rPr>
      <w:rFonts w:ascii="Consolas" w:eastAsia="Calibri" w:hAnsi="Consolas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D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284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38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41808"/>
    <w:pPr>
      <w:spacing w:after="0" w:line="240" w:lineRule="auto"/>
      <w:jc w:val="center"/>
      <w:outlineLvl w:val="0"/>
    </w:pPr>
    <w:rPr>
      <w:rFonts w:ascii="Century Gothic" w:eastAsia="Times New Roman" w:hAnsi="Century Gothic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semiHidden/>
    <w:rsid w:val="00E4180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rsid w:val="00E4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638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D638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6381E"/>
    <w:rPr>
      <w:rFonts w:ascii="Consolas" w:eastAsia="Calibri" w:hAnsi="Consolas"/>
      <w:sz w:val="21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D2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28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tlbt54\AppData\Roaming\Microsoft\Templates\Amiciz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Amicizia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Zantedeschi</dc:creator>
  <cp:lastModifiedBy>Elisabetta Zantedeschi</cp:lastModifiedBy>
  <cp:revision>2</cp:revision>
  <cp:lastPrinted>2002-03-20T08:55:00Z</cp:lastPrinted>
  <dcterms:created xsi:type="dcterms:W3CDTF">2016-02-10T11:47:00Z</dcterms:created>
  <dcterms:modified xsi:type="dcterms:W3CDTF">2016-02-10T11:47:00Z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TC060872291040</vt:lpwstr>
  </property>
</Properties>
</file>